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21 175 vom 8. Dezember 2021</w:t>
      </w:r>
    </w:p>
    <w:p>
      <w:r>
        <w:t>BL Gerichte, 2021-12-08, DE</w:t>
      </w:r>
    </w:p>
    <w:p>
      <w:r>
        <w:rPr>
          <w:b/>
        </w:rPr>
        <w:t xml:space="preserve">Quelle: </w:t>
      </w:r>
      <w:r>
        <w:t>https://mcp.opencaselaw.ch/entscheid/bl_gerichte_810 21 175</w:t>
      </w:r>
    </w:p>
    <w:p>
      <w:r>
        <w:t>FR: BL_GERICHTE 810 21 175 du 8 décembre 2021</w:t>
      </w:r>
    </w:p>
    <w:p>
      <w:r>
        <w:t>IT: BL_GERICHTE 810 21 175 del 8 dicembre 2021</w:t>
      </w:r>
    </w:p>
    <w:p>
      <w:pPr>
        <w:pStyle w:val="Heading2"/>
      </w:pPr>
      <w:r>
        <w:t>Regeste</w:t>
      </w:r>
    </w:p>
    <w:p>
      <w:r>
        <w:t>Nach- und Strafsteuer Staatssteuer 2005 - 2011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der Höhe von Fr. 1'200.-- werden der Steuerverwaltung des Kantons Basel-Landschaft auferlegt. Dem Beschwerdeführer wird der geleistete Kostenvorschuss in der Höhe von Fr. 3'500.-- zurückbezahlt.</w:t>
      </w:r>
    </w:p>
    <w:p>
      <w:r>
        <w:rPr>
          <w:b/>
        </w:rPr>
        <w:t>E. 3</w:t>
      </w:r>
    </w:p>
    <w:p>
      <w:r>
        <w:t>Die Steuerverwaltung des Kantons Basel-Landschaft hat dem Beschwerdeführer eine reduzierte Parteientschädigung in der Höhe von Fr. 1'217.30 (inkl. Auslagen und 7.7% MWST) zu bezahlen. Vizepräsident Gerichtsschreiber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